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0" w:firstLineChars="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numPr>
          <w:ilvl w:val="0"/>
          <w:numId w:val="0"/>
        </w:numPr>
        <w:jc w:val="center"/>
        <w:rPr>
          <w:rFonts w:hint="eastAsia" w:ascii="黑体" w:hAnsi="黑体" w:eastAsia="黑体"/>
          <w:sz w:val="36"/>
          <w:szCs w:val="44"/>
        </w:rPr>
      </w:pPr>
      <w:r>
        <w:rPr>
          <w:rFonts w:hint="eastAsia" w:ascii="方正小标宋_GBK" w:hAnsi="方正小标宋_GBK" w:eastAsia="方正小标宋_GBK" w:cs="方正小标宋_GBK"/>
          <w:sz w:val="36"/>
          <w:szCs w:val="36"/>
        </w:rPr>
        <w:t>规划</w:t>
      </w:r>
      <w:r>
        <w:rPr>
          <w:rFonts w:hint="eastAsia" w:ascii="方正小标宋_GBK" w:hAnsi="方正小标宋_GBK" w:eastAsia="方正小标宋_GBK" w:cs="方正小标宋_GBK"/>
          <w:sz w:val="36"/>
          <w:szCs w:val="36"/>
          <w:lang w:eastAsia="zh-CN"/>
        </w:rPr>
        <w:t>现状</w:t>
      </w:r>
      <w:r>
        <w:rPr>
          <w:rFonts w:hint="eastAsia" w:ascii="方正小标宋_GBK" w:hAnsi="方正小标宋_GBK" w:eastAsia="方正小标宋_GBK" w:cs="方正小标宋_GBK"/>
          <w:sz w:val="36"/>
          <w:szCs w:val="36"/>
        </w:rPr>
        <w:t>基数</w:t>
      </w:r>
      <w:r>
        <w:rPr>
          <w:rFonts w:hint="eastAsia" w:ascii="方正小标宋_GBK" w:hAnsi="方正小标宋_GBK" w:eastAsia="方正小标宋_GBK" w:cs="方正小标宋_GBK"/>
          <w:sz w:val="36"/>
          <w:szCs w:val="36"/>
          <w:lang w:eastAsia="zh-CN"/>
        </w:rPr>
        <w:t>分类转换规则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2664"/>
        <w:gridCol w:w="391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1292" w:type="dxa"/>
            <w:noWrap w:val="0"/>
            <w:vAlign w:val="center"/>
          </w:tcPr>
          <w:p>
            <w:pPr>
              <w:adjustRightInd w:val="0"/>
              <w:snapToGrid w:val="0"/>
              <w:spacing w:line="264"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类别</w:t>
            </w:r>
          </w:p>
        </w:tc>
        <w:tc>
          <w:tcPr>
            <w:tcW w:w="2664" w:type="dxa"/>
            <w:noWrap w:val="0"/>
            <w:vAlign w:val="center"/>
          </w:tcPr>
          <w:p>
            <w:pPr>
              <w:adjustRightInd w:val="0"/>
              <w:snapToGrid w:val="0"/>
              <w:spacing w:line="264"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具体情形</w:t>
            </w:r>
          </w:p>
        </w:tc>
        <w:tc>
          <w:tcPr>
            <w:tcW w:w="3918" w:type="dxa"/>
            <w:noWrap w:val="0"/>
            <w:vAlign w:val="center"/>
          </w:tcPr>
          <w:p>
            <w:pPr>
              <w:adjustRightInd w:val="0"/>
              <w:snapToGrid w:val="0"/>
              <w:spacing w:line="264"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处理规则</w:t>
            </w:r>
          </w:p>
        </w:tc>
        <w:tc>
          <w:tcPr>
            <w:tcW w:w="1368" w:type="dxa"/>
            <w:noWrap w:val="0"/>
            <w:vAlign w:val="center"/>
          </w:tcPr>
          <w:p>
            <w:pPr>
              <w:adjustRightInd w:val="0"/>
              <w:snapToGrid w:val="0"/>
              <w:spacing w:line="264" w:lineRule="auto"/>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default" w:ascii="仿宋_GB2312" w:hAnsi="仿宋_GB2312" w:eastAsia="仿宋_GB2312" w:cs="仿宋_GB2312"/>
                <w:b/>
                <w:bCs/>
                <w:color w:val="000000"/>
                <w:sz w:val="24"/>
                <w:szCs w:val="24"/>
              </w:rPr>
              <w:t>调</w:t>
            </w:r>
            <w:r>
              <w:rPr>
                <w:rFonts w:hint="eastAsia" w:ascii="仿宋_GB2312" w:hAnsi="仿宋_GB2312" w:eastAsia="仿宋_GB2312" w:cs="仿宋_GB2312"/>
                <w:b/>
                <w:bCs/>
                <w:sz w:val="24"/>
                <w:szCs w:val="24"/>
                <w:lang w:eastAsia="zh-CN"/>
              </w:rPr>
              <w:t>”地类情况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292" w:type="dxa"/>
            <w:vMerge w:val="restart"/>
            <w:noWrap w:val="0"/>
            <w:vAlign w:val="center"/>
          </w:tcPr>
          <w:p>
            <w:pPr>
              <w:adjustRightInd w:val="0"/>
              <w:snapToGrid w:val="0"/>
              <w:spacing w:line="264"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一、已审批未建设</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用地</w:t>
            </w:r>
          </w:p>
        </w:tc>
        <w:tc>
          <w:tcPr>
            <w:tcW w:w="2664" w:type="dxa"/>
            <w:noWrap w:val="0"/>
            <w:vAlign w:val="center"/>
          </w:tcPr>
          <w:p>
            <w:pPr>
              <w:adjustRightInd w:val="0"/>
              <w:snapToGrid w:val="0"/>
              <w:spacing w:line="264"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①已完成农转用</w:t>
            </w:r>
            <w:r>
              <w:rPr>
                <w:rFonts w:hint="eastAsia" w:ascii="仿宋_GB2312" w:hAnsi="仿宋_GB2312" w:eastAsia="仿宋_GB2312" w:cs="仿宋_GB2312"/>
                <w:color w:val="auto"/>
                <w:sz w:val="24"/>
                <w:szCs w:val="24"/>
                <w:lang w:eastAsia="zh-CN"/>
              </w:rPr>
              <w:t>审批手续（</w:t>
            </w:r>
            <w:r>
              <w:rPr>
                <w:rFonts w:hint="default" w:ascii="仿宋_GB2312" w:hAnsi="仿宋_GB2312" w:eastAsia="仿宋_GB2312" w:cs="仿宋_GB2312"/>
                <w:color w:val="000000"/>
                <w:sz w:val="24"/>
                <w:szCs w:val="24"/>
              </w:rPr>
              <w:t>含</w:t>
            </w:r>
            <w:r>
              <w:rPr>
                <w:rFonts w:hint="eastAsia" w:ascii="仿宋_GB2312" w:hAnsi="仿宋_GB2312" w:eastAsia="仿宋_GB2312" w:cs="仿宋_GB2312"/>
                <w:color w:val="auto"/>
                <w:sz w:val="24"/>
                <w:szCs w:val="24"/>
                <w:lang w:eastAsia="zh-CN"/>
              </w:rPr>
              <w:t>增减挂钩建新用地手续）</w:t>
            </w:r>
            <w:r>
              <w:rPr>
                <w:rFonts w:hint="eastAsia" w:ascii="仿宋_GB2312" w:hAnsi="仿宋_GB2312" w:eastAsia="仿宋_GB2312" w:cs="仿宋_GB2312"/>
                <w:color w:val="auto"/>
                <w:sz w:val="24"/>
                <w:szCs w:val="24"/>
              </w:rPr>
              <w:t>，但尚未供地的</w:t>
            </w:r>
          </w:p>
        </w:tc>
        <w:tc>
          <w:tcPr>
            <w:tcW w:w="3918" w:type="dxa"/>
            <w:noWrap w:val="0"/>
            <w:vAlign w:val="center"/>
          </w:tcPr>
          <w:p>
            <w:pPr>
              <w:adjustRightInd w:val="0"/>
              <w:snapToGrid w:val="0"/>
              <w:spacing w:line="264"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按照农转用审批范围和用途认定为建设用地</w:t>
            </w:r>
          </w:p>
        </w:tc>
        <w:tc>
          <w:tcPr>
            <w:tcW w:w="1368" w:type="dxa"/>
            <w:vMerge w:val="restart"/>
            <w:noWrap w:val="0"/>
            <w:vAlign w:val="center"/>
          </w:tcPr>
          <w:p>
            <w:pPr>
              <w:adjustRightInd w:val="0"/>
              <w:snapToGrid w:val="0"/>
              <w:spacing w:line="264"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rPr>
              <w:t>”为</w:t>
            </w:r>
            <w:r>
              <w:rPr>
                <w:rFonts w:hint="eastAsia" w:ascii="仿宋_GB2312" w:hAnsi="仿宋_GB2312" w:eastAsia="仿宋_GB2312" w:cs="仿宋_GB2312"/>
                <w:sz w:val="24"/>
                <w:szCs w:val="24"/>
                <w:lang w:eastAsia="zh-CN"/>
              </w:rPr>
              <w:t>非</w:t>
            </w:r>
            <w:r>
              <w:rPr>
                <w:rFonts w:hint="eastAsia" w:ascii="仿宋_GB2312" w:hAnsi="仿宋_GB2312" w:eastAsia="仿宋_GB2312" w:cs="仿宋_GB2312"/>
                <w:sz w:val="24"/>
                <w:szCs w:val="24"/>
              </w:rPr>
              <w:t>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292" w:type="dxa"/>
            <w:vMerge w:val="continue"/>
            <w:noWrap w:val="0"/>
            <w:vAlign w:val="center"/>
          </w:tcPr>
          <w:p>
            <w:pPr>
              <w:adjustRightInd w:val="0"/>
              <w:snapToGrid w:val="0"/>
              <w:spacing w:line="264" w:lineRule="auto"/>
              <w:jc w:val="center"/>
              <w:rPr>
                <w:rFonts w:hint="eastAsia" w:ascii="仿宋_GB2312" w:hAnsi="仿宋_GB2312" w:eastAsia="仿宋_GB2312" w:cs="仿宋_GB2312"/>
                <w:sz w:val="24"/>
                <w:szCs w:val="24"/>
              </w:rPr>
            </w:pPr>
          </w:p>
        </w:tc>
        <w:tc>
          <w:tcPr>
            <w:tcW w:w="2664" w:type="dxa"/>
            <w:noWrap w:val="0"/>
            <w:vAlign w:val="center"/>
          </w:tcPr>
          <w:p>
            <w:pPr>
              <w:adjustRightInd w:val="0"/>
              <w:snapToGrid w:val="0"/>
              <w:spacing w:line="264"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②已办理供地手续</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但</w:t>
            </w:r>
            <w:r>
              <w:rPr>
                <w:rFonts w:hint="eastAsia" w:ascii="仿宋_GB2312" w:hAnsi="仿宋_GB2312" w:eastAsia="仿宋_GB2312" w:cs="仿宋_GB2312"/>
                <w:color w:val="auto"/>
                <w:sz w:val="24"/>
                <w:szCs w:val="24"/>
                <w:lang w:val="en-US" w:eastAsia="zh-CN"/>
              </w:rPr>
              <w:t>尚未办理</w:t>
            </w:r>
            <w:r>
              <w:rPr>
                <w:rFonts w:hint="eastAsia" w:ascii="仿宋_GB2312" w:hAnsi="仿宋_GB2312" w:eastAsia="仿宋_GB2312" w:cs="仿宋_GB2312"/>
                <w:color w:val="auto"/>
                <w:sz w:val="24"/>
                <w:szCs w:val="24"/>
              </w:rPr>
              <w:t>土地使用权</w:t>
            </w:r>
            <w:r>
              <w:rPr>
                <w:rFonts w:hint="eastAsia" w:ascii="仿宋_GB2312" w:hAnsi="仿宋_GB2312" w:eastAsia="仿宋_GB2312" w:cs="仿宋_GB2312"/>
                <w:color w:val="auto"/>
                <w:sz w:val="24"/>
                <w:szCs w:val="24"/>
                <w:lang w:val="en-US" w:eastAsia="zh-CN"/>
              </w:rPr>
              <w:t>登记</w:t>
            </w:r>
            <w:r>
              <w:rPr>
                <w:rFonts w:hint="eastAsia" w:ascii="仿宋_GB2312" w:hAnsi="仿宋_GB2312" w:eastAsia="仿宋_GB2312" w:cs="仿宋_GB2312"/>
                <w:color w:val="auto"/>
                <w:sz w:val="24"/>
                <w:szCs w:val="24"/>
              </w:rPr>
              <w:t>的</w:t>
            </w:r>
          </w:p>
        </w:tc>
        <w:tc>
          <w:tcPr>
            <w:tcW w:w="3918" w:type="dxa"/>
            <w:noWrap w:val="0"/>
            <w:vAlign w:val="center"/>
          </w:tcPr>
          <w:p>
            <w:pPr>
              <w:adjustRightInd w:val="0"/>
              <w:snapToGrid w:val="0"/>
              <w:spacing w:line="264"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按土地出让合同或划拨决定书的范围和用途认定为建设用地</w:t>
            </w:r>
          </w:p>
        </w:tc>
        <w:tc>
          <w:tcPr>
            <w:tcW w:w="1368" w:type="dxa"/>
            <w:vMerge w:val="continue"/>
            <w:noWrap w:val="0"/>
            <w:vAlign w:val="center"/>
          </w:tcPr>
          <w:p>
            <w:pPr>
              <w:adjustRightInd w:val="0"/>
              <w:snapToGrid w:val="0"/>
              <w:spacing w:line="264"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292" w:type="dxa"/>
            <w:vMerge w:val="continue"/>
            <w:noWrap w:val="0"/>
            <w:vAlign w:val="center"/>
          </w:tcPr>
          <w:p>
            <w:pPr>
              <w:adjustRightInd w:val="0"/>
              <w:snapToGrid w:val="0"/>
              <w:spacing w:line="264" w:lineRule="auto"/>
              <w:jc w:val="center"/>
              <w:rPr>
                <w:rFonts w:hint="eastAsia" w:ascii="仿宋_GB2312" w:hAnsi="仿宋_GB2312" w:eastAsia="仿宋_GB2312" w:cs="仿宋_GB2312"/>
                <w:sz w:val="24"/>
                <w:szCs w:val="24"/>
              </w:rPr>
            </w:pPr>
          </w:p>
        </w:tc>
        <w:tc>
          <w:tcPr>
            <w:tcW w:w="2664" w:type="dxa"/>
            <w:noWrap w:val="0"/>
            <w:vAlign w:val="center"/>
          </w:tcPr>
          <w:p>
            <w:pPr>
              <w:adjustRightInd w:val="0"/>
              <w:snapToGrid w:val="0"/>
              <w:spacing w:line="264"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③已</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土地使用权</w:t>
            </w:r>
            <w:r>
              <w:rPr>
                <w:rFonts w:hint="eastAsia" w:ascii="仿宋_GB2312" w:hAnsi="仿宋_GB2312" w:eastAsia="仿宋_GB2312" w:cs="仿宋_GB2312"/>
                <w:color w:val="auto"/>
                <w:sz w:val="24"/>
                <w:szCs w:val="24"/>
                <w:lang w:eastAsia="zh-CN"/>
              </w:rPr>
              <w:t>登记</w:t>
            </w:r>
            <w:r>
              <w:rPr>
                <w:rFonts w:hint="eastAsia" w:ascii="仿宋_GB2312" w:hAnsi="仿宋_GB2312" w:eastAsia="仿宋_GB2312" w:cs="仿宋_GB2312"/>
                <w:color w:val="auto"/>
                <w:sz w:val="24"/>
                <w:szCs w:val="24"/>
              </w:rPr>
              <w:t>的</w:t>
            </w:r>
          </w:p>
        </w:tc>
        <w:tc>
          <w:tcPr>
            <w:tcW w:w="3918" w:type="dxa"/>
            <w:noWrap w:val="0"/>
            <w:vAlign w:val="center"/>
          </w:tcPr>
          <w:p>
            <w:pPr>
              <w:adjustRightInd w:val="0"/>
              <w:snapToGrid w:val="0"/>
              <w:spacing w:line="264"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按</w:t>
            </w:r>
            <w:r>
              <w:rPr>
                <w:rFonts w:hint="eastAsia" w:ascii="仿宋_GB2312" w:hAnsi="仿宋_GB2312" w:eastAsia="仿宋_GB2312" w:cs="仿宋_GB2312"/>
                <w:color w:val="auto"/>
                <w:sz w:val="24"/>
                <w:szCs w:val="24"/>
                <w:lang w:eastAsia="zh-CN"/>
              </w:rPr>
              <w:t>登记的</w:t>
            </w:r>
            <w:r>
              <w:rPr>
                <w:rFonts w:hint="eastAsia" w:ascii="仿宋_GB2312" w:hAnsi="仿宋_GB2312" w:eastAsia="仿宋_GB2312" w:cs="仿宋_GB2312"/>
                <w:color w:val="auto"/>
                <w:sz w:val="24"/>
                <w:szCs w:val="24"/>
              </w:rPr>
              <w:t>范围和用途认定为建设用地</w:t>
            </w:r>
          </w:p>
        </w:tc>
        <w:tc>
          <w:tcPr>
            <w:tcW w:w="1368" w:type="dxa"/>
            <w:vMerge w:val="continue"/>
            <w:noWrap w:val="0"/>
            <w:vAlign w:val="center"/>
          </w:tcPr>
          <w:p>
            <w:pPr>
              <w:adjustRightInd w:val="0"/>
              <w:snapToGrid w:val="0"/>
              <w:spacing w:line="264"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292" w:type="dxa"/>
            <w:noWrap w:val="0"/>
            <w:vAlign w:val="center"/>
          </w:tcPr>
          <w:p>
            <w:pPr>
              <w:adjustRightInd w:val="0"/>
              <w:snapToGrid w:val="0"/>
              <w:spacing w:line="264"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未审批已建设的</w:t>
            </w:r>
            <w:r>
              <w:rPr>
                <w:rFonts w:hint="eastAsia" w:ascii="仿宋_GB2312" w:hAnsi="仿宋_GB2312" w:eastAsia="仿宋_GB2312" w:cs="仿宋_GB2312"/>
                <w:sz w:val="24"/>
                <w:szCs w:val="24"/>
              </w:rPr>
              <w:t>用地</w:t>
            </w:r>
          </w:p>
        </w:tc>
        <w:tc>
          <w:tcPr>
            <w:tcW w:w="2664" w:type="dxa"/>
            <w:noWrap w:val="0"/>
            <w:vAlign w:val="center"/>
          </w:tcPr>
          <w:p>
            <w:pPr>
              <w:adjustRightInd w:val="0"/>
              <w:snapToGrid w:val="0"/>
              <w:spacing w:line="264"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lang w:eastAsia="zh-CN"/>
              </w:rPr>
              <w:t>”以来新增的未审批已建设的用地（“二</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lang w:eastAsia="zh-CN"/>
              </w:rPr>
              <w:t>”为非建设用地）</w:t>
            </w:r>
          </w:p>
        </w:tc>
        <w:tc>
          <w:tcPr>
            <w:tcW w:w="3918" w:type="dxa"/>
            <w:noWrap w:val="0"/>
            <w:vAlign w:val="center"/>
          </w:tcPr>
          <w:p>
            <w:pPr>
              <w:adjustRightInd w:val="0"/>
              <w:snapToGrid w:val="0"/>
              <w:spacing w:line="264"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2020年1月1日以来已补办用地手续的，按照“三</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lang w:val="en-US" w:eastAsia="zh-CN"/>
              </w:rPr>
              <w:t>”地类认定，其余</w:t>
            </w:r>
            <w:r>
              <w:rPr>
                <w:rFonts w:hint="eastAsia" w:ascii="仿宋_GB2312" w:hAnsi="仿宋_GB2312" w:eastAsia="仿宋_GB2312" w:cs="仿宋_GB2312"/>
                <w:sz w:val="24"/>
                <w:szCs w:val="24"/>
                <w:lang w:eastAsia="zh-CN"/>
              </w:rPr>
              <w:t>按照“二</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lang w:eastAsia="zh-CN"/>
              </w:rPr>
              <w:t>”地类认定</w:t>
            </w:r>
          </w:p>
        </w:tc>
        <w:tc>
          <w:tcPr>
            <w:tcW w:w="1368" w:type="dxa"/>
            <w:noWrap w:val="0"/>
            <w:vAlign w:val="center"/>
          </w:tcPr>
          <w:p>
            <w:pPr>
              <w:adjustRightInd w:val="0"/>
              <w:snapToGrid w:val="0"/>
              <w:spacing w:line="264"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rPr>
              <w:t>”为建设用地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1292" w:type="dxa"/>
            <w:noWrap w:val="0"/>
            <w:vAlign w:val="center"/>
          </w:tcPr>
          <w:p>
            <w:pPr>
              <w:adjustRightInd w:val="0"/>
              <w:snapToGrid w:val="0"/>
              <w:spacing w:line="264"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、已拆除</w:t>
            </w:r>
            <w:r>
              <w:rPr>
                <w:rFonts w:hint="eastAsia" w:ascii="仿宋_GB2312" w:hAnsi="仿宋_GB2312" w:eastAsia="仿宋_GB2312" w:cs="仿宋_GB2312"/>
                <w:sz w:val="24"/>
                <w:szCs w:val="24"/>
                <w:lang w:eastAsia="zh-CN"/>
              </w:rPr>
              <w:t>建筑物、构筑物的原</w:t>
            </w:r>
            <w:r>
              <w:rPr>
                <w:rFonts w:hint="eastAsia" w:ascii="仿宋_GB2312" w:hAnsi="仿宋_GB2312" w:eastAsia="仿宋_GB2312" w:cs="仿宋_GB2312"/>
                <w:sz w:val="24"/>
                <w:szCs w:val="24"/>
              </w:rPr>
              <w:t>建设用地</w:t>
            </w:r>
          </w:p>
        </w:tc>
        <w:tc>
          <w:tcPr>
            <w:tcW w:w="2664" w:type="dxa"/>
            <w:noWrap w:val="0"/>
            <w:vAlign w:val="center"/>
          </w:tcPr>
          <w:p>
            <w:pPr>
              <w:adjustRightInd w:val="0"/>
              <w:snapToGrid w:val="0"/>
              <w:spacing w:line="264" w:lineRule="auto"/>
              <w:rPr>
                <w:rFonts w:hint="eastAsia" w:ascii="仿宋_GB2312" w:hAnsi="仿宋_GB2312" w:eastAsia="仿宋_GB2312" w:cs="仿宋_GB2312"/>
                <w:sz w:val="24"/>
                <w:szCs w:val="24"/>
                <w:lang w:eastAsia="zh-CN"/>
              </w:rPr>
            </w:pPr>
            <w:r>
              <w:rPr>
                <w:rFonts w:hint="default" w:ascii="仿宋_GB2312" w:hAnsi="仿宋_GB2312" w:eastAsia="仿宋_GB2312" w:cs="仿宋_GB2312"/>
                <w:color w:val="000000"/>
                <w:sz w:val="24"/>
                <w:szCs w:val="24"/>
              </w:rPr>
              <w:t>因</w:t>
            </w:r>
            <w:r>
              <w:rPr>
                <w:rFonts w:hint="eastAsia" w:ascii="仿宋_GB2312" w:hAnsi="仿宋_GB2312" w:eastAsia="仿宋_GB2312" w:cs="仿宋_GB2312"/>
                <w:sz w:val="24"/>
                <w:szCs w:val="24"/>
              </w:rPr>
              <w:t>低效用地再开</w:t>
            </w:r>
            <w:r>
              <w:rPr>
                <w:rFonts w:hint="eastAsia" w:ascii="仿宋_GB2312" w:hAnsi="仿宋_GB2312" w:eastAsia="仿宋_GB2312" w:cs="仿宋_GB2312"/>
                <w:color w:val="auto"/>
                <w:sz w:val="24"/>
                <w:szCs w:val="24"/>
              </w:rPr>
              <w:t>发、原拆原建</w:t>
            </w:r>
            <w:r>
              <w:rPr>
                <w:rFonts w:hint="eastAsia" w:ascii="仿宋_GB2312" w:hAnsi="仿宋_GB2312" w:eastAsia="仿宋_GB2312" w:cs="仿宋_GB2312"/>
                <w:color w:val="auto"/>
                <w:sz w:val="24"/>
                <w:szCs w:val="24"/>
                <w:lang w:eastAsia="zh-CN"/>
              </w:rPr>
              <w:t>、矿山关闭后再利用</w:t>
            </w:r>
            <w:r>
              <w:rPr>
                <w:rFonts w:hint="eastAsia" w:ascii="仿宋_GB2312" w:hAnsi="仿宋_GB2312" w:eastAsia="仿宋_GB2312" w:cs="仿宋_GB2312"/>
                <w:color w:val="auto"/>
                <w:sz w:val="24"/>
                <w:szCs w:val="24"/>
              </w:rPr>
              <w:t>等原因已先</w:t>
            </w:r>
            <w:r>
              <w:rPr>
                <w:rFonts w:hint="eastAsia" w:ascii="仿宋_GB2312" w:hAnsi="仿宋_GB2312" w:eastAsia="仿宋_GB2312" w:cs="仿宋_GB2312"/>
                <w:sz w:val="24"/>
                <w:szCs w:val="24"/>
              </w:rPr>
              <w:t>行拆除的</w:t>
            </w:r>
          </w:p>
        </w:tc>
        <w:tc>
          <w:tcPr>
            <w:tcW w:w="3918" w:type="dxa"/>
            <w:noWrap w:val="0"/>
            <w:vAlign w:val="center"/>
          </w:tcPr>
          <w:p>
            <w:pPr>
              <w:adjustRightInd w:val="0"/>
              <w:snapToGrid w:val="0"/>
              <w:spacing w:line="264"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lang w:eastAsia="zh-CN"/>
              </w:rPr>
              <w:t>”或年度变更调查结果为建设用地且合法的（取得合法审批手续或</w:t>
            </w:r>
            <w:r>
              <w:rPr>
                <w:rFonts w:hint="eastAsia" w:ascii="仿宋_GB2312" w:hAnsi="仿宋_GB2312" w:eastAsia="仿宋_GB2312" w:cs="仿宋_GB2312"/>
                <w:sz w:val="24"/>
                <w:szCs w:val="24"/>
                <w:lang w:val="en-US" w:eastAsia="zh-CN"/>
              </w:rPr>
              <w:t>1999年以前调查为建设用地的</w:t>
            </w:r>
            <w:r>
              <w:rPr>
                <w:rFonts w:hint="eastAsia" w:ascii="仿宋_GB2312" w:hAnsi="仿宋_GB2312" w:eastAsia="仿宋_GB2312" w:cs="仿宋_GB2312"/>
                <w:sz w:val="24"/>
                <w:szCs w:val="24"/>
                <w:lang w:eastAsia="zh-CN"/>
              </w:rPr>
              <w:t>），按照拆除前地类认定</w:t>
            </w:r>
          </w:p>
        </w:tc>
        <w:tc>
          <w:tcPr>
            <w:tcW w:w="1368" w:type="dxa"/>
            <w:noWrap w:val="0"/>
            <w:vAlign w:val="center"/>
          </w:tcPr>
          <w:p>
            <w:pPr>
              <w:adjustRightInd w:val="0"/>
              <w:snapToGrid w:val="0"/>
              <w:spacing w:line="264"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highlight w:val="none"/>
              </w:rPr>
              <w:t>“三</w:t>
            </w:r>
            <w:r>
              <w:rPr>
                <w:rFonts w:hint="default" w:ascii="仿宋_GB2312" w:hAnsi="仿宋_GB2312" w:eastAsia="仿宋_GB2312" w:cs="仿宋_GB2312"/>
                <w:color w:val="000000"/>
                <w:sz w:val="24"/>
                <w:szCs w:val="24"/>
                <w:highlight w:val="none"/>
              </w:rPr>
              <w:t>调</w:t>
            </w:r>
            <w:r>
              <w:rPr>
                <w:rFonts w:hint="eastAsia" w:ascii="仿宋_GB2312" w:hAnsi="仿宋_GB2312" w:eastAsia="仿宋_GB2312" w:cs="仿宋_GB2312"/>
                <w:sz w:val="24"/>
                <w:szCs w:val="24"/>
                <w:highlight w:val="none"/>
              </w:rPr>
              <w:t>”为非建设用地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292" w:type="dxa"/>
            <w:noWrap w:val="0"/>
            <w:vAlign w:val="center"/>
          </w:tcPr>
          <w:p>
            <w:pPr>
              <w:adjustRightInd w:val="0"/>
              <w:snapToGrid w:val="0"/>
              <w:spacing w:line="264" w:lineRule="auto"/>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eastAsia="zh-CN"/>
              </w:rPr>
              <w:t>四、已审批未建设的</w:t>
            </w:r>
            <w:r>
              <w:rPr>
                <w:rFonts w:hint="eastAsia" w:ascii="仿宋_GB2312" w:hAnsi="仿宋_GB2312" w:eastAsia="仿宋_GB2312" w:cs="仿宋_GB2312"/>
                <w:color w:val="000000"/>
                <w:sz w:val="24"/>
                <w:szCs w:val="24"/>
                <w:highlight w:val="none"/>
                <w:lang w:eastAsia="zh-CN"/>
              </w:rPr>
              <w:t>用</w:t>
            </w:r>
            <w:r>
              <w:rPr>
                <w:rFonts w:hint="default" w:ascii="仿宋_GB2312" w:hAnsi="仿宋_GB2312" w:eastAsia="仿宋_GB2312" w:cs="仿宋_GB2312"/>
                <w:color w:val="000000"/>
                <w:sz w:val="24"/>
                <w:szCs w:val="24"/>
                <w:highlight w:val="none"/>
              </w:rPr>
              <w:t>海</w:t>
            </w:r>
          </w:p>
        </w:tc>
        <w:tc>
          <w:tcPr>
            <w:tcW w:w="2664" w:type="dxa"/>
            <w:noWrap w:val="0"/>
            <w:vAlign w:val="center"/>
          </w:tcPr>
          <w:p>
            <w:pPr>
              <w:adjustRightInd w:val="0"/>
              <w:snapToGrid w:val="0"/>
              <w:spacing w:line="264" w:lineRule="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已取得</w:t>
            </w:r>
            <w:r>
              <w:rPr>
                <w:rFonts w:hint="eastAsia" w:ascii="仿宋_GB2312" w:hAnsi="仿宋_GB2312" w:eastAsia="仿宋_GB2312" w:cs="仿宋_GB2312"/>
                <w:color w:val="000000"/>
                <w:sz w:val="24"/>
                <w:szCs w:val="24"/>
                <w:highlight w:val="none"/>
              </w:rPr>
              <w:t>用</w:t>
            </w:r>
            <w:r>
              <w:rPr>
                <w:rFonts w:hint="default" w:ascii="仿宋_GB2312" w:hAnsi="仿宋_GB2312" w:eastAsia="仿宋_GB2312" w:cs="仿宋_GB2312"/>
                <w:color w:val="000000"/>
                <w:sz w:val="24"/>
                <w:szCs w:val="24"/>
                <w:highlight w:val="none"/>
              </w:rPr>
              <w:t>海</w:t>
            </w:r>
            <w:r>
              <w:rPr>
                <w:rFonts w:hint="eastAsia" w:ascii="仿宋_GB2312" w:hAnsi="仿宋_GB2312" w:eastAsia="仿宋_GB2312" w:cs="仿宋_GB2312"/>
                <w:sz w:val="24"/>
                <w:szCs w:val="24"/>
                <w:highlight w:val="none"/>
              </w:rPr>
              <w:t>批文或</w:t>
            </w:r>
            <w:r>
              <w:rPr>
                <w:rFonts w:hint="eastAsia" w:ascii="仿宋_GB2312" w:hAnsi="仿宋_GB2312" w:eastAsia="仿宋_GB2312" w:cs="仿宋_GB2312"/>
                <w:sz w:val="24"/>
                <w:szCs w:val="24"/>
                <w:highlight w:val="none"/>
                <w:lang w:eastAsia="zh-CN"/>
              </w:rPr>
              <w:t>办理</w:t>
            </w:r>
            <w:r>
              <w:rPr>
                <w:rFonts w:hint="eastAsia" w:ascii="仿宋_GB2312" w:hAnsi="仿宋_GB2312" w:eastAsia="仿宋_GB2312" w:cs="仿宋_GB2312"/>
                <w:sz w:val="24"/>
                <w:szCs w:val="24"/>
                <w:highlight w:val="none"/>
              </w:rPr>
              <w:t>海域使用权</w:t>
            </w:r>
            <w:r>
              <w:rPr>
                <w:rFonts w:hint="eastAsia" w:ascii="仿宋_GB2312" w:hAnsi="仿宋_GB2312" w:eastAsia="仿宋_GB2312" w:cs="仿宋_GB2312"/>
                <w:sz w:val="24"/>
                <w:szCs w:val="24"/>
                <w:highlight w:val="none"/>
                <w:lang w:eastAsia="zh-CN"/>
              </w:rPr>
              <w:t>登记的，允许继续填海的</w:t>
            </w:r>
          </w:p>
        </w:tc>
        <w:tc>
          <w:tcPr>
            <w:tcW w:w="3918" w:type="dxa"/>
            <w:noWrap w:val="0"/>
            <w:vAlign w:val="center"/>
          </w:tcPr>
          <w:p>
            <w:pPr>
              <w:adjustRightInd w:val="0"/>
              <w:snapToGrid w:val="0"/>
              <w:spacing w:line="264" w:lineRule="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按照用</w:t>
            </w:r>
            <w:r>
              <w:rPr>
                <w:rFonts w:hint="default" w:ascii="仿宋_GB2312" w:hAnsi="仿宋_GB2312" w:eastAsia="仿宋_GB2312" w:cs="仿宋_GB2312"/>
                <w:color w:val="000000"/>
                <w:sz w:val="24"/>
                <w:szCs w:val="24"/>
                <w:highlight w:val="none"/>
              </w:rPr>
              <w:t>海</w:t>
            </w:r>
            <w:r>
              <w:rPr>
                <w:rFonts w:hint="eastAsia" w:ascii="仿宋_GB2312" w:hAnsi="仿宋_GB2312" w:eastAsia="仿宋_GB2312" w:cs="仿宋_GB2312"/>
                <w:sz w:val="24"/>
                <w:szCs w:val="24"/>
                <w:highlight w:val="none"/>
              </w:rPr>
              <w:t>批文或</w:t>
            </w:r>
            <w:r>
              <w:rPr>
                <w:rFonts w:hint="eastAsia" w:ascii="仿宋_GB2312" w:hAnsi="仿宋_GB2312" w:eastAsia="仿宋_GB2312" w:cs="仿宋_GB2312"/>
                <w:sz w:val="24"/>
                <w:szCs w:val="24"/>
                <w:highlight w:val="none"/>
                <w:lang w:eastAsia="zh-CN"/>
              </w:rPr>
              <w:t>登记</w:t>
            </w:r>
            <w:r>
              <w:rPr>
                <w:rFonts w:hint="eastAsia" w:ascii="仿宋_GB2312" w:hAnsi="仿宋_GB2312" w:eastAsia="仿宋_GB2312" w:cs="仿宋_GB2312"/>
                <w:sz w:val="24"/>
                <w:szCs w:val="24"/>
                <w:highlight w:val="none"/>
              </w:rPr>
              <w:t>的范围和用途认定</w:t>
            </w:r>
            <w:r>
              <w:rPr>
                <w:rFonts w:hint="eastAsia" w:ascii="仿宋_GB2312" w:hAnsi="仿宋_GB2312" w:eastAsia="仿宋_GB2312" w:cs="仿宋_GB2312"/>
                <w:sz w:val="24"/>
                <w:szCs w:val="24"/>
                <w:highlight w:val="none"/>
                <w:lang w:eastAsia="zh-CN"/>
              </w:rPr>
              <w:t>（用途为建设用地的认定为建设用地，用途为农用地的认定为农用地）</w:t>
            </w:r>
          </w:p>
        </w:tc>
        <w:tc>
          <w:tcPr>
            <w:tcW w:w="1368" w:type="dxa"/>
            <w:noWrap w:val="0"/>
            <w:vAlign w:val="center"/>
          </w:tcPr>
          <w:p>
            <w:pPr>
              <w:adjustRightInd w:val="0"/>
              <w:snapToGrid w:val="0"/>
              <w:spacing w:line="264"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位于</w:t>
            </w:r>
            <w:r>
              <w:rPr>
                <w:rFonts w:hint="eastAsia" w:ascii="仿宋_GB2312" w:hAnsi="仿宋_GB2312" w:eastAsia="仿宋_GB2312" w:cs="仿宋_GB2312"/>
                <w:sz w:val="24"/>
                <w:szCs w:val="24"/>
                <w:highlight w:val="none"/>
                <w:lang w:val="en-US" w:eastAsia="zh-CN"/>
              </w:rPr>
              <w:t>0米线之上，</w:t>
            </w:r>
            <w:r>
              <w:rPr>
                <w:rFonts w:hint="eastAsia" w:ascii="仿宋_GB2312" w:hAnsi="仿宋_GB2312" w:eastAsia="仿宋_GB2312" w:cs="仿宋_GB2312"/>
                <w:sz w:val="24"/>
                <w:szCs w:val="24"/>
                <w:highlight w:val="none"/>
              </w:rPr>
              <w:t>“三</w:t>
            </w:r>
            <w:r>
              <w:rPr>
                <w:rFonts w:hint="default" w:ascii="仿宋_GB2312" w:hAnsi="仿宋_GB2312" w:eastAsia="仿宋_GB2312" w:cs="仿宋_GB2312"/>
                <w:color w:val="000000"/>
                <w:sz w:val="24"/>
                <w:szCs w:val="24"/>
                <w:highlight w:val="none"/>
              </w:rPr>
              <w:t>调</w:t>
            </w:r>
            <w:r>
              <w:rPr>
                <w:rFonts w:hint="eastAsia" w:ascii="仿宋_GB2312" w:hAnsi="仿宋_GB2312" w:eastAsia="仿宋_GB2312" w:cs="仿宋_GB2312"/>
                <w:sz w:val="24"/>
                <w:szCs w:val="24"/>
                <w:highlight w:val="none"/>
              </w:rPr>
              <w:t>”为非建设用地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2" w:type="dxa"/>
            <w:noWrap w:val="0"/>
            <w:vAlign w:val="center"/>
          </w:tcPr>
          <w:p>
            <w:pPr>
              <w:adjustRightInd w:val="0"/>
              <w:snapToGrid w:val="0"/>
              <w:spacing w:line="264"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五、未确权</w:t>
            </w:r>
            <w:r>
              <w:rPr>
                <w:rFonts w:hint="eastAsia" w:ascii="仿宋_GB2312" w:hAnsi="仿宋_GB2312" w:eastAsia="仿宋_GB2312" w:cs="仿宋_GB2312"/>
                <w:color w:val="000000"/>
                <w:sz w:val="24"/>
                <w:szCs w:val="24"/>
                <w:lang w:eastAsia="zh-CN"/>
              </w:rPr>
              <w:t>用</w:t>
            </w:r>
            <w:r>
              <w:rPr>
                <w:rFonts w:hint="default" w:ascii="仿宋_GB2312" w:hAnsi="仿宋_GB2312" w:eastAsia="仿宋_GB2312" w:cs="仿宋_GB2312"/>
                <w:color w:val="000000"/>
                <w:sz w:val="24"/>
                <w:szCs w:val="24"/>
              </w:rPr>
              <w:t>海</w:t>
            </w:r>
          </w:p>
        </w:tc>
        <w:tc>
          <w:tcPr>
            <w:tcW w:w="2664" w:type="dxa"/>
            <w:noWrap w:val="0"/>
            <w:vAlign w:val="center"/>
          </w:tcPr>
          <w:p>
            <w:pPr>
              <w:adjustRightInd w:val="0"/>
              <w:snapToGrid w:val="0"/>
              <w:spacing w:line="264"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围填海历史遗留问题清单中未确权已填海已建设的</w:t>
            </w:r>
          </w:p>
        </w:tc>
        <w:tc>
          <w:tcPr>
            <w:tcW w:w="3918" w:type="dxa"/>
            <w:noWrap w:val="0"/>
            <w:vAlign w:val="center"/>
          </w:tcPr>
          <w:p>
            <w:pPr>
              <w:adjustRightInd w:val="0"/>
              <w:snapToGrid w:val="0"/>
              <w:spacing w:line="264"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按照围填海现状调查图斑范围和报自然资源部备案的省级人民政府围填海历史遗留问题处置方案认定（处置意见为拆除的，按</w:t>
            </w:r>
            <w:r>
              <w:rPr>
                <w:rFonts w:hint="eastAsia" w:ascii="仿宋_GB2312" w:hAnsi="仿宋_GB2312" w:eastAsia="仿宋_GB2312" w:cs="仿宋_GB2312"/>
                <w:color w:val="000000"/>
                <w:sz w:val="24"/>
                <w:szCs w:val="24"/>
                <w:lang w:eastAsia="zh-CN"/>
              </w:rPr>
              <w:t>照</w:t>
            </w:r>
            <w:r>
              <w:rPr>
                <w:rFonts w:hint="eastAsia" w:ascii="仿宋_GB2312" w:hAnsi="仿宋_GB2312" w:eastAsia="仿宋_GB2312" w:cs="仿宋_GB2312"/>
                <w:sz w:val="24"/>
                <w:szCs w:val="24"/>
                <w:lang w:eastAsia="zh-CN"/>
              </w:rPr>
              <w:t>填海前分类认定；处置意见为保留的，按照“三</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lang w:eastAsia="zh-CN"/>
              </w:rPr>
              <w:t>”地类认定）</w:t>
            </w:r>
          </w:p>
        </w:tc>
        <w:tc>
          <w:tcPr>
            <w:tcW w:w="1368" w:type="dxa"/>
            <w:noWrap w:val="0"/>
            <w:vAlign w:val="center"/>
          </w:tcPr>
          <w:p>
            <w:pPr>
              <w:adjustRightInd w:val="0"/>
              <w:snapToGrid w:val="0"/>
              <w:spacing w:line="264"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highlight w:val="none"/>
                <w:lang w:eastAsia="zh-CN"/>
              </w:rPr>
              <w:t>位于</w:t>
            </w:r>
            <w:r>
              <w:rPr>
                <w:rFonts w:hint="eastAsia" w:ascii="仿宋_GB2312" w:hAnsi="仿宋_GB2312" w:eastAsia="仿宋_GB2312" w:cs="仿宋_GB2312"/>
                <w:sz w:val="24"/>
                <w:szCs w:val="24"/>
                <w:highlight w:val="none"/>
                <w:lang w:val="en-US" w:eastAsia="zh-CN"/>
              </w:rPr>
              <w:t>0米线之上，</w:t>
            </w:r>
            <w:r>
              <w:rPr>
                <w:rFonts w:hint="eastAsia" w:ascii="仿宋_GB2312" w:hAnsi="仿宋_GB2312" w:eastAsia="仿宋_GB2312" w:cs="仿宋_GB2312"/>
                <w:sz w:val="24"/>
                <w:szCs w:val="24"/>
              </w:rPr>
              <w:t>“三</w:t>
            </w:r>
            <w:r>
              <w:rPr>
                <w:rFonts w:hint="default" w:ascii="仿宋_GB2312" w:hAnsi="仿宋_GB2312" w:eastAsia="仿宋_GB2312" w:cs="仿宋_GB2312"/>
                <w:color w:val="000000"/>
                <w:sz w:val="24"/>
                <w:szCs w:val="24"/>
              </w:rPr>
              <w:t>调</w:t>
            </w:r>
            <w:r>
              <w:rPr>
                <w:rFonts w:hint="eastAsia" w:ascii="仿宋_GB2312" w:hAnsi="仿宋_GB2312" w:eastAsia="仿宋_GB2312" w:cs="仿宋_GB2312"/>
                <w:sz w:val="24"/>
                <w:szCs w:val="24"/>
              </w:rPr>
              <w:t>”为建设用地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00"/>
    <w:family w:val="auto"/>
    <w:pitch w:val="default"/>
    <w:sig w:usb0="00000000" w:usb1="00000000" w:usb2="00000000" w:usb3="00000000" w:csb0="0004009F" w:csb1="DFD70000"/>
  </w:font>
  <w:font w:name="方正小标宋_GBK">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810F3"/>
    <w:rsid w:val="01294D03"/>
    <w:rsid w:val="014277F8"/>
    <w:rsid w:val="029C03EE"/>
    <w:rsid w:val="02AB6460"/>
    <w:rsid w:val="031D77EC"/>
    <w:rsid w:val="04A1412C"/>
    <w:rsid w:val="04C966F9"/>
    <w:rsid w:val="04F16281"/>
    <w:rsid w:val="053420C9"/>
    <w:rsid w:val="055555A4"/>
    <w:rsid w:val="0567723E"/>
    <w:rsid w:val="05771AA0"/>
    <w:rsid w:val="05F65709"/>
    <w:rsid w:val="06897691"/>
    <w:rsid w:val="08842E2E"/>
    <w:rsid w:val="09C8193A"/>
    <w:rsid w:val="09DD777D"/>
    <w:rsid w:val="0C717870"/>
    <w:rsid w:val="0CE47382"/>
    <w:rsid w:val="0DA07795"/>
    <w:rsid w:val="0DAE4312"/>
    <w:rsid w:val="0F040770"/>
    <w:rsid w:val="0F1F4E6A"/>
    <w:rsid w:val="0F3C36AD"/>
    <w:rsid w:val="10837555"/>
    <w:rsid w:val="113F25A6"/>
    <w:rsid w:val="1148497B"/>
    <w:rsid w:val="11C04495"/>
    <w:rsid w:val="121D209C"/>
    <w:rsid w:val="13BD523E"/>
    <w:rsid w:val="153305EF"/>
    <w:rsid w:val="15475EC0"/>
    <w:rsid w:val="158909EC"/>
    <w:rsid w:val="170C7C68"/>
    <w:rsid w:val="176A4F5C"/>
    <w:rsid w:val="176E4A4F"/>
    <w:rsid w:val="18D75F91"/>
    <w:rsid w:val="19B004CB"/>
    <w:rsid w:val="1B2819AE"/>
    <w:rsid w:val="1BBB77C3"/>
    <w:rsid w:val="1BFE1859"/>
    <w:rsid w:val="1D0E38FD"/>
    <w:rsid w:val="1D8D08C8"/>
    <w:rsid w:val="1FAC75B8"/>
    <w:rsid w:val="1FF65AE2"/>
    <w:rsid w:val="207E6759"/>
    <w:rsid w:val="20D467B2"/>
    <w:rsid w:val="20D62755"/>
    <w:rsid w:val="21F2744D"/>
    <w:rsid w:val="230801D3"/>
    <w:rsid w:val="25824837"/>
    <w:rsid w:val="26342627"/>
    <w:rsid w:val="27756E5C"/>
    <w:rsid w:val="280924AC"/>
    <w:rsid w:val="28784286"/>
    <w:rsid w:val="28880F15"/>
    <w:rsid w:val="29234763"/>
    <w:rsid w:val="29E90B53"/>
    <w:rsid w:val="2A2921D4"/>
    <w:rsid w:val="2B2F1830"/>
    <w:rsid w:val="2BE74C26"/>
    <w:rsid w:val="2CE11BA1"/>
    <w:rsid w:val="2E947C84"/>
    <w:rsid w:val="2EE02ADA"/>
    <w:rsid w:val="2F982A69"/>
    <w:rsid w:val="2FF6068A"/>
    <w:rsid w:val="318F118C"/>
    <w:rsid w:val="33FA0B8D"/>
    <w:rsid w:val="341F7B7B"/>
    <w:rsid w:val="35083388"/>
    <w:rsid w:val="35620718"/>
    <w:rsid w:val="35AB2894"/>
    <w:rsid w:val="3637690F"/>
    <w:rsid w:val="3659209C"/>
    <w:rsid w:val="36AE238A"/>
    <w:rsid w:val="36E17A8F"/>
    <w:rsid w:val="384155DC"/>
    <w:rsid w:val="388642FE"/>
    <w:rsid w:val="395E3861"/>
    <w:rsid w:val="3A075443"/>
    <w:rsid w:val="3C0A16D8"/>
    <w:rsid w:val="3C253DF0"/>
    <w:rsid w:val="3C2D0F2C"/>
    <w:rsid w:val="3C5929CF"/>
    <w:rsid w:val="3C685052"/>
    <w:rsid w:val="3CCA77A8"/>
    <w:rsid w:val="3D3C2C90"/>
    <w:rsid w:val="3DF55EF1"/>
    <w:rsid w:val="3EC72611"/>
    <w:rsid w:val="3FE432AF"/>
    <w:rsid w:val="413A4DF0"/>
    <w:rsid w:val="41686FC0"/>
    <w:rsid w:val="4187370B"/>
    <w:rsid w:val="42A446D9"/>
    <w:rsid w:val="42B93261"/>
    <w:rsid w:val="42D83D96"/>
    <w:rsid w:val="43161581"/>
    <w:rsid w:val="43992BF0"/>
    <w:rsid w:val="441834BB"/>
    <w:rsid w:val="44377F9A"/>
    <w:rsid w:val="44A72140"/>
    <w:rsid w:val="462745EB"/>
    <w:rsid w:val="46D51127"/>
    <w:rsid w:val="47857557"/>
    <w:rsid w:val="47EA6BEC"/>
    <w:rsid w:val="480530E7"/>
    <w:rsid w:val="498F23C5"/>
    <w:rsid w:val="4AD22B27"/>
    <w:rsid w:val="4B5D3488"/>
    <w:rsid w:val="4D9E1801"/>
    <w:rsid w:val="4DF5226F"/>
    <w:rsid w:val="4E670C8B"/>
    <w:rsid w:val="4E84018E"/>
    <w:rsid w:val="4FB01021"/>
    <w:rsid w:val="4FB810F3"/>
    <w:rsid w:val="4FE7785A"/>
    <w:rsid w:val="53041B49"/>
    <w:rsid w:val="535470BB"/>
    <w:rsid w:val="5465243B"/>
    <w:rsid w:val="54826130"/>
    <w:rsid w:val="55A62FE8"/>
    <w:rsid w:val="582B47DA"/>
    <w:rsid w:val="58CA2A13"/>
    <w:rsid w:val="58F64622"/>
    <w:rsid w:val="59247456"/>
    <w:rsid w:val="5A587D4C"/>
    <w:rsid w:val="5A603F9F"/>
    <w:rsid w:val="5C1B7891"/>
    <w:rsid w:val="5C4860FE"/>
    <w:rsid w:val="5E117BBE"/>
    <w:rsid w:val="5E200C43"/>
    <w:rsid w:val="5EE21CCF"/>
    <w:rsid w:val="5F8866AC"/>
    <w:rsid w:val="610C7552"/>
    <w:rsid w:val="637C0DDC"/>
    <w:rsid w:val="644E367E"/>
    <w:rsid w:val="651707A6"/>
    <w:rsid w:val="65956704"/>
    <w:rsid w:val="66206B13"/>
    <w:rsid w:val="674832A7"/>
    <w:rsid w:val="688D5BE3"/>
    <w:rsid w:val="69874845"/>
    <w:rsid w:val="6A860EF1"/>
    <w:rsid w:val="6C296722"/>
    <w:rsid w:val="6C36746C"/>
    <w:rsid w:val="6D332E54"/>
    <w:rsid w:val="6E38049A"/>
    <w:rsid w:val="6F0D08CE"/>
    <w:rsid w:val="6F1331CA"/>
    <w:rsid w:val="6F162EB2"/>
    <w:rsid w:val="712E6DD8"/>
    <w:rsid w:val="717607E4"/>
    <w:rsid w:val="71DD4D6F"/>
    <w:rsid w:val="751B0DBA"/>
    <w:rsid w:val="75264C41"/>
    <w:rsid w:val="75884E48"/>
    <w:rsid w:val="76B94CD2"/>
    <w:rsid w:val="770674E6"/>
    <w:rsid w:val="77DF5C5B"/>
    <w:rsid w:val="78630FAA"/>
    <w:rsid w:val="7A9226B7"/>
    <w:rsid w:val="7A992C5D"/>
    <w:rsid w:val="7B1B4B27"/>
    <w:rsid w:val="7BDE12CB"/>
    <w:rsid w:val="7C1242DB"/>
    <w:rsid w:val="7C964F36"/>
    <w:rsid w:val="7D12157C"/>
    <w:rsid w:val="7D5A6065"/>
    <w:rsid w:val="7F521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华文仿宋" w:cs="宋体"/>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2021-05-25T10:02:00Z</dcterms:created>
  <dc:creator>陈卉(陈卉:)</dc:creator>
  <cp:lastModifiedBy>陈卉(陈卉:)</cp:lastModifiedBy>
  <dcterms:modified xsi:type="dcterms:W3CDTF">2021-05-25T10:03:14Z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BF611AD070044AD69683511D8BDEFE01</vt:lpwstr>
  </property>
</Properties>
</file>